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февраль 2013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28"/>
        <w:gridCol w:w="4929"/>
        <w:gridCol w:w="4929"/>
      </w:tblGrid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108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Положение стандарта раскрытия информации субъектами оптового и розничных рынков электрической энергии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утв. постановлением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Состав раскрываемой информации</w:t>
            </w:r>
          </w:p>
        </w:tc>
        <w:tc>
          <w:tcPr>
            <w:tcW w:w="4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Раскрываемая информация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п.п.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п.11 Стандарта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поданных заявок и объема мощности, необходимого для их удовлетворения;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аннулированных заявок на технологическое присоединение;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выполненных присоединений и присоединенной мощности;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Техническая возможность присоединения определяется в каждом конкретном случае. Резервная мощность трансформаторов (по уровню напряжения СНII-6кВ) по состоянию на </w:t>
            </w: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16"/>
                <w:shd w:fill="auto" w:val="clear"/>
              </w:rPr>
              <w:t xml:space="preserve">01.02.2013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составляла – 31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 560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кВА, по состоянию на </w:t>
            </w:r>
            <w:r>
              <w:rPr>
                <w:rFonts w:ascii="Arial" w:hAnsi="Arial" w:cs="Arial" w:eastAsia="Arial"/>
                <w:color w:val="1F497D"/>
                <w:spacing w:val="0"/>
                <w:position w:val="0"/>
                <w:sz w:val="16"/>
                <w:shd w:fill="auto" w:val="clear"/>
              </w:rPr>
              <w:t xml:space="preserve">28 февраля 2013г.-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31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 560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775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 период 01.02.13-28.02.13- подана 1 заявка. Объем мощности необходимой для его удовлетворения – 680 кВт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 -нет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аннулированных заявок на технологическое присоединение- нет</w:t>
            </w:r>
          </w:p>
          <w:p>
            <w:pPr>
              <w:spacing w:before="0" w:after="0" w:line="240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выполненных присоединений и присоединенной мощности - нет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